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A1" w:rsidRPr="00A10B68" w:rsidRDefault="00A10B68" w:rsidP="00172DA1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10B6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34D2B" wp14:editId="51C46CFF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162050" cy="2857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68" w:rsidRDefault="00A10B68" w:rsidP="00A10B6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106.09.25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18pt;width: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" stroked="f">
                <v:textbox>
                  <w:txbxContent>
                    <w:p w:rsidR="00A10B68" w:rsidRDefault="00A10B68" w:rsidP="00A10B6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106.09.25</w:t>
                      </w:r>
                    </w:p>
                  </w:txbxContent>
                </v:textbox>
              </v:shape>
            </w:pict>
          </mc:Fallback>
        </mc:AlternateContent>
      </w:r>
      <w:r w:rsidR="00172DA1" w:rsidRPr="00A10B68">
        <w:rPr>
          <w:rFonts w:ascii="標楷體" w:eastAsia="標楷體" w:hAnsi="標楷體" w:hint="eastAsia"/>
          <w:b/>
          <w:sz w:val="32"/>
          <w:szCs w:val="32"/>
        </w:rPr>
        <w:t>常</w:t>
      </w:r>
      <w:bookmarkStart w:id="0" w:name="_GoBack"/>
      <w:bookmarkEnd w:id="0"/>
      <w:r w:rsidR="00172DA1" w:rsidRPr="00A10B68">
        <w:rPr>
          <w:rFonts w:ascii="標楷體" w:eastAsia="標楷體" w:hAnsi="標楷體" w:hint="eastAsia"/>
          <w:b/>
          <w:sz w:val="32"/>
          <w:szCs w:val="32"/>
        </w:rPr>
        <w:t>用</w:t>
      </w:r>
      <w:r>
        <w:rPr>
          <w:rFonts w:ascii="標楷體" w:eastAsia="標楷體" w:hAnsi="標楷體" w:hint="eastAsia"/>
          <w:b/>
          <w:sz w:val="32"/>
          <w:szCs w:val="32"/>
        </w:rPr>
        <w:t>心理</w:t>
      </w:r>
      <w:r w:rsidR="00172DA1" w:rsidRPr="00A10B68">
        <w:rPr>
          <w:rFonts w:ascii="標楷體" w:eastAsia="標楷體" w:hAnsi="標楷體" w:hint="eastAsia"/>
          <w:b/>
          <w:sz w:val="32"/>
          <w:szCs w:val="32"/>
        </w:rPr>
        <w:t>測驗一覽表</w:t>
      </w:r>
    </w:p>
    <w:tbl>
      <w:tblPr>
        <w:tblpPr w:leftFromText="180" w:rightFromText="180" w:vertAnchor="page" w:horzAnchor="margin" w:tblpXSpec="center" w:tblpY="2339"/>
        <w:tblW w:w="95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470"/>
        <w:gridCol w:w="1232"/>
        <w:gridCol w:w="1064"/>
        <w:gridCol w:w="1190"/>
        <w:gridCol w:w="1427"/>
        <w:gridCol w:w="1890"/>
        <w:gridCol w:w="741"/>
      </w:tblGrid>
      <w:tr w:rsidR="00172DA1" w:rsidRPr="00172DA1" w:rsidTr="00172DA1">
        <w:trPr>
          <w:trHeight w:val="578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 w:hint="eastAsia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項次</w:t>
            </w:r>
          </w:p>
        </w:tc>
        <w:tc>
          <w:tcPr>
            <w:tcW w:w="1470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測驗名稱</w:t>
            </w: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施測對象</w:t>
            </w:r>
          </w:p>
        </w:tc>
        <w:tc>
          <w:tcPr>
            <w:tcW w:w="1064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施測時間</w:t>
            </w:r>
          </w:p>
        </w:tc>
        <w:tc>
          <w:tcPr>
            <w:tcW w:w="1190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施測人員</w:t>
            </w:r>
          </w:p>
        </w:tc>
        <w:tc>
          <w:tcPr>
            <w:tcW w:w="1427" w:type="dxa"/>
            <w:vAlign w:val="center"/>
          </w:tcPr>
          <w:p w:rsidR="00172DA1" w:rsidRPr="00172DA1" w:rsidRDefault="00172DA1" w:rsidP="00172DA1">
            <w:pPr>
              <w:spacing w:line="30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 w:hint="eastAsia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測驗解釋人員</w:t>
            </w:r>
          </w:p>
        </w:tc>
        <w:tc>
          <w:tcPr>
            <w:tcW w:w="1890" w:type="dxa"/>
            <w:vAlign w:val="center"/>
          </w:tcPr>
          <w:p w:rsidR="00172DA1" w:rsidRPr="00172DA1" w:rsidRDefault="00172DA1" w:rsidP="00172DA1">
            <w:pPr>
              <w:spacing w:line="4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目的與應用</w:t>
            </w:r>
          </w:p>
        </w:tc>
        <w:tc>
          <w:tcPr>
            <w:tcW w:w="741" w:type="dxa"/>
            <w:vAlign w:val="center"/>
          </w:tcPr>
          <w:p w:rsidR="00172DA1" w:rsidRPr="00172DA1" w:rsidRDefault="00172DA1" w:rsidP="00172DA1">
            <w:pPr>
              <w:spacing w:line="3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 w:hint="eastAsia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測驗</w:t>
            </w:r>
          </w:p>
          <w:p w:rsidR="00172DA1" w:rsidRPr="00172DA1" w:rsidRDefault="00172DA1" w:rsidP="00172DA1">
            <w:pPr>
              <w:spacing w:line="360" w:lineRule="exact"/>
              <w:ind w:leftChars="-50" w:left="-120" w:rightChars="-50" w:right="-120"/>
              <w:jc w:val="center"/>
              <w:rPr>
                <w:rFonts w:ascii="華康隸書體W5(P)" w:eastAsia="華康隸書體W5(P)" w:hAnsi="標楷體" w:hint="eastAsia"/>
                <w:sz w:val="22"/>
                <w:szCs w:val="22"/>
              </w:rPr>
            </w:pPr>
            <w:r w:rsidRPr="00172DA1">
              <w:rPr>
                <w:rFonts w:ascii="華康隸書體W5(P)" w:eastAsia="華康隸書體W5(P)" w:hAnsi="標楷體" w:hint="eastAsia"/>
                <w:sz w:val="22"/>
                <w:szCs w:val="22"/>
              </w:rPr>
              <w:t>時間</w:t>
            </w:r>
          </w:p>
        </w:tc>
      </w:tr>
      <w:tr w:rsidR="00172DA1" w:rsidRPr="00172DA1" w:rsidTr="00172DA1">
        <w:trPr>
          <w:trHeight w:val="802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新編多元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性向測驗</w:t>
            </w:r>
          </w:p>
        </w:tc>
        <w:tc>
          <w:tcPr>
            <w:tcW w:w="1232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高一學生</w:t>
            </w:r>
          </w:p>
        </w:tc>
        <w:tc>
          <w:tcPr>
            <w:tcW w:w="1064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配合生涯規劃課程</w:t>
            </w:r>
          </w:p>
        </w:tc>
        <w:tc>
          <w:tcPr>
            <w:tcW w:w="1190" w:type="dxa"/>
            <w:vAlign w:val="center"/>
          </w:tcPr>
          <w:p w:rsidR="00172DA1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生涯規劃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1427" w:type="dxa"/>
            <w:vAlign w:val="center"/>
          </w:tcPr>
          <w:p w:rsidR="00172DA1" w:rsidRDefault="00172DA1" w:rsidP="00172DA1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生涯規劃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1890" w:type="dxa"/>
            <w:vAlign w:val="center"/>
          </w:tcPr>
          <w:p w:rsidR="00172DA1" w:rsidRPr="00051E0D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1E0D">
              <w:rPr>
                <w:rFonts w:ascii="標楷體" w:eastAsia="標楷體" w:hAnsi="標楷體" w:hint="eastAsia"/>
                <w:sz w:val="22"/>
                <w:szCs w:val="22"/>
              </w:rPr>
              <w:t>提供學生了解自己的性向與潛在能力。</w:t>
            </w:r>
          </w:p>
        </w:tc>
        <w:tc>
          <w:tcPr>
            <w:tcW w:w="741" w:type="dxa"/>
            <w:vAlign w:val="center"/>
          </w:tcPr>
          <w:p w:rsidR="00172DA1" w:rsidRPr="002731E3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60分</w:t>
            </w:r>
          </w:p>
        </w:tc>
      </w:tr>
      <w:tr w:rsidR="00172DA1" w:rsidRPr="00172DA1" w:rsidTr="00172DA1">
        <w:trPr>
          <w:trHeight w:val="802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470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大考中心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興趣量表</w:t>
            </w:r>
          </w:p>
        </w:tc>
        <w:tc>
          <w:tcPr>
            <w:tcW w:w="1232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高一學生</w:t>
            </w:r>
          </w:p>
        </w:tc>
        <w:tc>
          <w:tcPr>
            <w:tcW w:w="1064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配合生涯規劃課程</w:t>
            </w:r>
          </w:p>
        </w:tc>
        <w:tc>
          <w:tcPr>
            <w:tcW w:w="1190" w:type="dxa"/>
            <w:vAlign w:val="center"/>
          </w:tcPr>
          <w:p w:rsidR="00172DA1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生涯規劃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86DFA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1427" w:type="dxa"/>
            <w:vAlign w:val="center"/>
          </w:tcPr>
          <w:p w:rsidR="00172DA1" w:rsidRDefault="00172DA1" w:rsidP="00172DA1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生涯規劃</w:t>
            </w:r>
          </w:p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1890" w:type="dxa"/>
            <w:vAlign w:val="center"/>
          </w:tcPr>
          <w:p w:rsidR="00172DA1" w:rsidRPr="00051E0D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1E0D">
              <w:rPr>
                <w:rFonts w:ascii="標楷體" w:eastAsia="標楷體" w:hAnsi="標楷體" w:hint="eastAsia"/>
                <w:sz w:val="22"/>
                <w:szCs w:val="22"/>
              </w:rPr>
              <w:t>提供學生了解自己的興趣。</w:t>
            </w:r>
          </w:p>
        </w:tc>
        <w:tc>
          <w:tcPr>
            <w:tcW w:w="741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30分</w:t>
            </w:r>
          </w:p>
        </w:tc>
      </w:tr>
      <w:tr w:rsidR="00172DA1" w:rsidRPr="00172DA1" w:rsidTr="00172DA1">
        <w:trPr>
          <w:trHeight w:val="1080"/>
        </w:trPr>
        <w:tc>
          <w:tcPr>
            <w:tcW w:w="556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47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proofErr w:type="gramStart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proofErr w:type="gramEnd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系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探索量表</w:t>
            </w: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綜合高中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學術學程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高三同學</w:t>
            </w:r>
          </w:p>
        </w:tc>
        <w:tc>
          <w:tcPr>
            <w:tcW w:w="1064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</w:t>
            </w: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tcW w:w="119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427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89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提供學生了解自己對</w:t>
            </w:r>
            <w:proofErr w:type="gramStart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學群學系</w:t>
            </w:r>
            <w:proofErr w:type="gramEnd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的興趣，協助學生選擇適合自己的大學科系，作為適宜之生涯規劃</w:t>
            </w:r>
          </w:p>
        </w:tc>
        <w:tc>
          <w:tcPr>
            <w:tcW w:w="741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40分</w:t>
            </w:r>
          </w:p>
        </w:tc>
      </w:tr>
      <w:tr w:rsidR="00172DA1" w:rsidRPr="00172DA1" w:rsidTr="00172DA1">
        <w:trPr>
          <w:trHeight w:val="1080"/>
        </w:trPr>
        <w:tc>
          <w:tcPr>
            <w:tcW w:w="556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有個別需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求之學生</w:t>
            </w:r>
          </w:p>
        </w:tc>
        <w:tc>
          <w:tcPr>
            <w:tcW w:w="1064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41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72DA1" w:rsidRPr="00172DA1" w:rsidTr="00172DA1">
        <w:trPr>
          <w:trHeight w:val="806"/>
        </w:trPr>
        <w:tc>
          <w:tcPr>
            <w:tcW w:w="556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47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高中(職)學生學習讀書策略量表</w:t>
            </w: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綜</w:t>
            </w:r>
            <w:proofErr w:type="gramEnd"/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高一年級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全體學生</w:t>
            </w:r>
          </w:p>
        </w:tc>
        <w:tc>
          <w:tcPr>
            <w:tcW w:w="1064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tcW w:w="119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427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890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提供學生學習診斷評量工具，以協助其改善策略，提升學習效果</w:t>
            </w:r>
          </w:p>
        </w:tc>
        <w:tc>
          <w:tcPr>
            <w:tcW w:w="741" w:type="dxa"/>
            <w:vMerge w:val="restart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25分</w:t>
            </w:r>
          </w:p>
        </w:tc>
      </w:tr>
      <w:tr w:rsidR="00172DA1" w:rsidRPr="00172DA1" w:rsidTr="00172DA1">
        <w:trPr>
          <w:trHeight w:val="790"/>
        </w:trPr>
        <w:tc>
          <w:tcPr>
            <w:tcW w:w="556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有個別需求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之學生</w:t>
            </w:r>
          </w:p>
        </w:tc>
        <w:tc>
          <w:tcPr>
            <w:tcW w:w="1064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個別安排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施測時間</w:t>
            </w:r>
          </w:p>
        </w:tc>
        <w:tc>
          <w:tcPr>
            <w:tcW w:w="119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41" w:type="dxa"/>
            <w:vMerge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72DA1" w:rsidRPr="00172DA1" w:rsidTr="00172DA1">
        <w:trPr>
          <w:trHeight w:val="790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戈登人格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剖析量表</w:t>
            </w: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有個別需求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之學生</w:t>
            </w:r>
          </w:p>
        </w:tc>
        <w:tc>
          <w:tcPr>
            <w:tcW w:w="1064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個別安排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施測時間</w:t>
            </w:r>
          </w:p>
        </w:tc>
        <w:tc>
          <w:tcPr>
            <w:tcW w:w="1190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427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890" w:type="dxa"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</w:rPr>
              <w:t>提供學生了解自己的人格特質及強弱項</w:t>
            </w:r>
          </w:p>
        </w:tc>
        <w:tc>
          <w:tcPr>
            <w:tcW w:w="741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25分</w:t>
            </w:r>
          </w:p>
        </w:tc>
      </w:tr>
      <w:tr w:rsidR="00172DA1" w:rsidRPr="00172DA1" w:rsidTr="00172DA1">
        <w:trPr>
          <w:trHeight w:val="790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470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貝克兒童及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青少年量表</w:t>
            </w:r>
          </w:p>
        </w:tc>
        <w:tc>
          <w:tcPr>
            <w:tcW w:w="1232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有個別需求</w:t>
            </w:r>
          </w:p>
          <w:p w:rsidR="00172DA1" w:rsidRPr="00172DA1" w:rsidRDefault="00172DA1" w:rsidP="00172DA1">
            <w:pPr>
              <w:spacing w:line="240" w:lineRule="atLeast"/>
              <w:ind w:leftChars="-50" w:left="100" w:rightChars="-50" w:right="-120" w:hangingChars="100" w:hanging="2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之學生</w:t>
            </w:r>
          </w:p>
        </w:tc>
        <w:tc>
          <w:tcPr>
            <w:tcW w:w="1064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個別安排</w:t>
            </w:r>
          </w:p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施測時間</w:t>
            </w:r>
          </w:p>
        </w:tc>
        <w:tc>
          <w:tcPr>
            <w:tcW w:w="1190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427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890" w:type="dxa"/>
            <w:vAlign w:val="center"/>
          </w:tcPr>
          <w:p w:rsidR="00172DA1" w:rsidRPr="00172DA1" w:rsidRDefault="00172DA1" w:rsidP="00172DA1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</w:rPr>
              <w:t>提供教師評估學生憂鬱、焦慮、</w:t>
            </w:r>
            <w:proofErr w:type="gramStart"/>
            <w:r w:rsidRPr="00172DA1">
              <w:rPr>
                <w:rFonts w:ascii="標楷體" w:eastAsia="標楷體" w:hAnsi="標楷體" w:hint="eastAsia"/>
                <w:sz w:val="22"/>
              </w:rPr>
              <w:t>憤怒、</w:t>
            </w:r>
            <w:proofErr w:type="gramEnd"/>
            <w:r w:rsidRPr="00172DA1">
              <w:rPr>
                <w:rFonts w:ascii="標楷體" w:eastAsia="標楷體" w:hAnsi="標楷體" w:hint="eastAsia"/>
                <w:sz w:val="22"/>
              </w:rPr>
              <w:t>違規行為與自我概念等症狀或經驗</w:t>
            </w:r>
          </w:p>
        </w:tc>
        <w:tc>
          <w:tcPr>
            <w:tcW w:w="741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72DA1">
              <w:rPr>
                <w:rFonts w:ascii="標楷體" w:eastAsia="標楷體" w:hAnsi="標楷體" w:hint="eastAsia"/>
                <w:sz w:val="22"/>
                <w:szCs w:val="22"/>
              </w:rPr>
              <w:t>60分</w:t>
            </w:r>
          </w:p>
        </w:tc>
      </w:tr>
      <w:tr w:rsidR="00172DA1" w:rsidRPr="00172DA1" w:rsidTr="00172DA1">
        <w:trPr>
          <w:trHeight w:val="790"/>
        </w:trPr>
        <w:tc>
          <w:tcPr>
            <w:tcW w:w="556" w:type="dxa"/>
            <w:vAlign w:val="center"/>
          </w:tcPr>
          <w:p w:rsidR="00172DA1" w:rsidRPr="00172DA1" w:rsidRDefault="00172DA1" w:rsidP="00172DA1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青少年心理健康量表</w:t>
            </w:r>
          </w:p>
        </w:tc>
        <w:tc>
          <w:tcPr>
            <w:tcW w:w="1232" w:type="dxa"/>
            <w:vAlign w:val="center"/>
          </w:tcPr>
          <w:p w:rsidR="00172DA1" w:rsidRPr="00886DFA" w:rsidRDefault="00172DA1" w:rsidP="00172DA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高一學生</w:t>
            </w:r>
          </w:p>
        </w:tc>
        <w:tc>
          <w:tcPr>
            <w:tcW w:w="1064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第1學期</w:t>
            </w:r>
          </w:p>
        </w:tc>
        <w:tc>
          <w:tcPr>
            <w:tcW w:w="1190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427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輔導老師</w:t>
            </w:r>
          </w:p>
        </w:tc>
        <w:tc>
          <w:tcPr>
            <w:tcW w:w="1890" w:type="dxa"/>
            <w:vAlign w:val="center"/>
          </w:tcPr>
          <w:p w:rsidR="00172DA1" w:rsidRPr="00F41C7D" w:rsidRDefault="00172DA1" w:rsidP="00172DA1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1C7D">
              <w:rPr>
                <w:rFonts w:ascii="標楷體" w:eastAsia="標楷體" w:hAnsi="標楷體" w:cs="Meiryo UI" w:hint="eastAsia"/>
                <w:color w:val="333333"/>
                <w:sz w:val="22"/>
                <w:szCs w:val="22"/>
              </w:rPr>
              <w:t>檢測青少年潛在困擾特質的類型與強度，以篩選出需要高關懷的對象</w:t>
            </w:r>
            <w:r w:rsidRPr="00F41C7D">
              <w:rPr>
                <w:rFonts w:ascii="標楷體" w:eastAsia="標楷體" w:hAnsi="標楷體" w:cs="細明體" w:hint="eastAsia"/>
                <w:color w:val="333333"/>
                <w:sz w:val="22"/>
                <w:szCs w:val="22"/>
              </w:rPr>
              <w:t>協助</w:t>
            </w:r>
            <w:r w:rsidRPr="00F41C7D">
              <w:rPr>
                <w:rFonts w:ascii="標楷體" w:eastAsia="標楷體" w:hAnsi="標楷體" w:cs="Meiryo UI" w:hint="eastAsia"/>
                <w:color w:val="000000"/>
                <w:sz w:val="22"/>
                <w:szCs w:val="22"/>
              </w:rPr>
              <w:t>教師主動掌握學生的心理健康狀態</w:t>
            </w:r>
          </w:p>
        </w:tc>
        <w:tc>
          <w:tcPr>
            <w:tcW w:w="741" w:type="dxa"/>
            <w:vAlign w:val="center"/>
          </w:tcPr>
          <w:p w:rsidR="00172DA1" w:rsidRPr="00886DFA" w:rsidRDefault="00172DA1" w:rsidP="00172DA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20分</w:t>
            </w:r>
          </w:p>
        </w:tc>
      </w:tr>
    </w:tbl>
    <w:p w:rsidR="00F7511C" w:rsidRDefault="00F7511C"/>
    <w:sectPr w:rsidR="00F75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1"/>
    <w:rsid w:val="00172DA1"/>
    <w:rsid w:val="00A10B68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D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2017-09-27T05:33:00Z</dcterms:created>
  <dcterms:modified xsi:type="dcterms:W3CDTF">2017-09-27T05:47:00Z</dcterms:modified>
</cp:coreProperties>
</file>